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E266A" w14:paraId="1BAD6DA3" w14:textId="77777777" w:rsidTr="007D2B03">
        <w:trPr>
          <w:trHeight w:val="12078"/>
          <w:jc w:val="center"/>
        </w:trPr>
        <w:tc>
          <w:tcPr>
            <w:tcW w:w="9350" w:type="dxa"/>
          </w:tcPr>
          <w:p w14:paraId="2C513ADD" w14:textId="564A9820" w:rsidR="003E266A" w:rsidRPr="00770C50" w:rsidRDefault="003E266A" w:rsidP="003E266A">
            <w:pPr>
              <w:pStyle w:val="Heading1a"/>
              <w:keepNext w:val="0"/>
              <w:keepLines w:val="0"/>
              <w:tabs>
                <w:tab w:val="clear" w:pos="-720"/>
              </w:tabs>
              <w:suppressAutoHyphens w:val="0"/>
              <w:rPr>
                <w:bCs/>
                <w:smallCaps w:val="0"/>
                <w:color w:val="000000" w:themeColor="text1"/>
                <w:sz w:val="24"/>
                <w:szCs w:val="24"/>
                <w:u w:val="single"/>
              </w:rPr>
            </w:pPr>
            <w:r w:rsidRPr="00770C50">
              <w:rPr>
                <w:bCs/>
                <w:smallCaps w:val="0"/>
                <w:noProof/>
                <w:color w:val="000000" w:themeColor="text1"/>
                <w:sz w:val="24"/>
                <w:szCs w:val="24"/>
                <w:u w:val="single"/>
              </w:rPr>
              <w:drawing>
                <wp:anchor distT="0" distB="0" distL="114300" distR="114300" simplePos="0" relativeHeight="251664384" behindDoc="0" locked="0" layoutInCell="1" allowOverlap="1" wp14:anchorId="471DA33E" wp14:editId="40E4FB95">
                  <wp:simplePos x="0" y="0"/>
                  <wp:positionH relativeFrom="margin">
                    <wp:align>left</wp:align>
                  </wp:positionH>
                  <wp:positionV relativeFrom="paragraph">
                    <wp:posOffset>0</wp:posOffset>
                  </wp:positionV>
                  <wp:extent cx="593271" cy="585396"/>
                  <wp:effectExtent l="0" t="0" r="0" b="571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740" cy="602634"/>
                          </a:xfrm>
                          <a:prstGeom prst="rect">
                            <a:avLst/>
                          </a:prstGeom>
                        </pic:spPr>
                      </pic:pic>
                    </a:graphicData>
                  </a:graphic>
                  <wp14:sizeRelH relativeFrom="margin">
                    <wp14:pctWidth>0</wp14:pctWidth>
                  </wp14:sizeRelH>
                  <wp14:sizeRelV relativeFrom="margin">
                    <wp14:pctHeight>0</wp14:pctHeight>
                  </wp14:sizeRelV>
                </wp:anchor>
              </w:drawing>
            </w:r>
            <w:r w:rsidRPr="00770C50">
              <w:rPr>
                <w:bCs/>
                <w:smallCaps w:val="0"/>
                <w:noProof/>
                <w:color w:val="000000" w:themeColor="text1"/>
                <w:sz w:val="24"/>
                <w:szCs w:val="24"/>
                <w:u w:val="single"/>
              </w:rPr>
              <w:drawing>
                <wp:anchor distT="0" distB="0" distL="114300" distR="114300" simplePos="0" relativeHeight="251663360" behindDoc="0" locked="0" layoutInCell="1" allowOverlap="1" wp14:anchorId="1283FFDE" wp14:editId="4BA4869C">
                  <wp:simplePos x="0" y="0"/>
                  <wp:positionH relativeFrom="column">
                    <wp:posOffset>3329552</wp:posOffset>
                  </wp:positionH>
                  <wp:positionV relativeFrom="paragraph">
                    <wp:posOffset>53521</wp:posOffset>
                  </wp:positionV>
                  <wp:extent cx="885814" cy="315686"/>
                  <wp:effectExtent l="0" t="0" r="0" b="825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737" cy="317797"/>
                          </a:xfrm>
                          <a:prstGeom prst="rect">
                            <a:avLst/>
                          </a:prstGeom>
                        </pic:spPr>
                      </pic:pic>
                    </a:graphicData>
                  </a:graphic>
                  <wp14:sizeRelH relativeFrom="margin">
                    <wp14:pctWidth>0</wp14:pctWidth>
                  </wp14:sizeRelH>
                  <wp14:sizeRelV relativeFrom="margin">
                    <wp14:pctHeight>0</wp14:pctHeight>
                  </wp14:sizeRelV>
                </wp:anchor>
              </w:drawing>
            </w:r>
            <w:r w:rsidRPr="00770C50">
              <w:rPr>
                <w:bCs/>
                <w:smallCaps w:val="0"/>
                <w:noProof/>
                <w:color w:val="000000" w:themeColor="text1"/>
                <w:sz w:val="24"/>
                <w:szCs w:val="24"/>
                <w:u w:val="single"/>
              </w:rPr>
              <w:drawing>
                <wp:anchor distT="0" distB="0" distL="114300" distR="114300" simplePos="0" relativeHeight="251665408" behindDoc="0" locked="0" layoutInCell="1" allowOverlap="1" wp14:anchorId="104AAE43" wp14:editId="61391F95">
                  <wp:simplePos x="0" y="0"/>
                  <wp:positionH relativeFrom="column">
                    <wp:posOffset>1312999</wp:posOffset>
                  </wp:positionH>
                  <wp:positionV relativeFrom="paragraph">
                    <wp:posOffset>53520</wp:posOffset>
                  </wp:positionV>
                  <wp:extent cx="1491342" cy="435429"/>
                  <wp:effectExtent l="0" t="0" r="0" b="3175"/>
                  <wp:wrapNone/>
                  <wp:docPr id="2" name="Content Placeholder 4" descr="C:\Users\Mahender Sharma\AppData\Local\Microsoft\Windows\Temporary Internet Files\Content.Word\GEA.JPG">
                    <a:extLst xmlns:a="http://schemas.openxmlformats.org/drawingml/2006/main">
                      <a:ext uri="{FF2B5EF4-FFF2-40B4-BE49-F238E27FC236}">
                        <a16:creationId xmlns:a16="http://schemas.microsoft.com/office/drawing/2014/main" id="{EB4728F5-0CD8-4209-8E7E-1BAB37AE3572}"/>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Content Placeholder 4" descr="C:\Users\Mahender Sharma\AppData\Local\Microsoft\Windows\Temporary Internet Files\Content.Word\GEA.JPG">
                            <a:extLst>
                              <a:ext uri="{FF2B5EF4-FFF2-40B4-BE49-F238E27FC236}">
                                <a16:creationId xmlns:a16="http://schemas.microsoft.com/office/drawing/2014/main" id="{EB4728F5-0CD8-4209-8E7E-1BAB37AE3572}"/>
                              </a:ext>
                            </a:extLst>
                          </pic:cNvPr>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32077" cy="447322"/>
                          </a:xfrm>
                          <a:prstGeom prst="rect">
                            <a:avLst/>
                          </a:prstGeom>
                          <a:noFill/>
                        </pic:spPr>
                      </pic:pic>
                    </a:graphicData>
                  </a:graphic>
                  <wp14:sizeRelH relativeFrom="page">
                    <wp14:pctWidth>0</wp14:pctWidth>
                  </wp14:sizeRelH>
                  <wp14:sizeRelV relativeFrom="page">
                    <wp14:pctHeight>0</wp14:pctHeight>
                  </wp14:sizeRelV>
                </wp:anchor>
              </w:drawing>
            </w:r>
          </w:p>
          <w:p w14:paraId="434BE8A2" w14:textId="77777777" w:rsidR="003E266A" w:rsidRPr="00770C50" w:rsidRDefault="003E266A" w:rsidP="003E266A">
            <w:pPr>
              <w:pStyle w:val="Heading1a"/>
              <w:keepNext w:val="0"/>
              <w:keepLines w:val="0"/>
              <w:tabs>
                <w:tab w:val="clear" w:pos="-720"/>
              </w:tabs>
              <w:suppressAutoHyphens w:val="0"/>
              <w:rPr>
                <w:bCs/>
                <w:smallCaps w:val="0"/>
                <w:color w:val="000000" w:themeColor="text1"/>
                <w:sz w:val="24"/>
                <w:szCs w:val="24"/>
                <w:u w:val="single"/>
              </w:rPr>
            </w:pPr>
          </w:p>
          <w:p w14:paraId="5228591B" w14:textId="77777777" w:rsidR="003E266A" w:rsidRPr="00770C50" w:rsidRDefault="003E266A" w:rsidP="003E266A">
            <w:pPr>
              <w:pStyle w:val="Heading1a"/>
              <w:keepNext w:val="0"/>
              <w:keepLines w:val="0"/>
              <w:tabs>
                <w:tab w:val="clear" w:pos="-720"/>
              </w:tabs>
              <w:suppressAutoHyphens w:val="0"/>
              <w:rPr>
                <w:bCs/>
                <w:smallCaps w:val="0"/>
                <w:color w:val="000000" w:themeColor="text1"/>
                <w:sz w:val="24"/>
                <w:szCs w:val="24"/>
                <w:u w:val="single"/>
              </w:rPr>
            </w:pPr>
          </w:p>
          <w:p w14:paraId="70EF3ADF" w14:textId="77777777" w:rsidR="003E266A" w:rsidRPr="00770C50" w:rsidRDefault="003E266A" w:rsidP="003E266A">
            <w:pPr>
              <w:pStyle w:val="Heading1a"/>
              <w:keepNext w:val="0"/>
              <w:keepLines w:val="0"/>
              <w:tabs>
                <w:tab w:val="clear" w:pos="-720"/>
              </w:tabs>
              <w:suppressAutoHyphens w:val="0"/>
              <w:ind w:left="189"/>
              <w:jc w:val="left"/>
              <w:rPr>
                <w:bCs/>
                <w:smallCaps w:val="0"/>
                <w:color w:val="000000" w:themeColor="text1"/>
                <w:sz w:val="24"/>
                <w:szCs w:val="24"/>
                <w:u w:val="single"/>
              </w:rPr>
            </w:pPr>
          </w:p>
          <w:p w14:paraId="24B26397" w14:textId="77777777" w:rsidR="003E266A" w:rsidRPr="003E266A" w:rsidRDefault="003E266A" w:rsidP="003E266A">
            <w:pPr>
              <w:pStyle w:val="Heading1a"/>
              <w:keepNext w:val="0"/>
              <w:keepLines w:val="0"/>
              <w:tabs>
                <w:tab w:val="clear" w:pos="-720"/>
              </w:tabs>
              <w:suppressAutoHyphens w:val="0"/>
              <w:rPr>
                <w:bCs/>
                <w:smallCaps w:val="0"/>
                <w:color w:val="000000" w:themeColor="text1"/>
                <w:sz w:val="22"/>
                <w:szCs w:val="22"/>
                <w:u w:val="single"/>
              </w:rPr>
            </w:pPr>
            <w:r w:rsidRPr="003E266A">
              <w:rPr>
                <w:bCs/>
                <w:smallCaps w:val="0"/>
                <w:color w:val="000000" w:themeColor="text1"/>
                <w:sz w:val="22"/>
                <w:szCs w:val="22"/>
                <w:u w:val="single"/>
              </w:rPr>
              <w:t>REQUEST FOR EXPRESSIONS OF INTEREST</w:t>
            </w:r>
          </w:p>
          <w:p w14:paraId="6AA364F4" w14:textId="77777777" w:rsidR="003E266A" w:rsidRPr="003E266A" w:rsidRDefault="003E266A" w:rsidP="003E266A">
            <w:pPr>
              <w:pStyle w:val="Heading1a"/>
              <w:keepNext w:val="0"/>
              <w:keepLines w:val="0"/>
              <w:tabs>
                <w:tab w:val="clear" w:pos="-720"/>
              </w:tabs>
              <w:suppressAutoHyphens w:val="0"/>
              <w:rPr>
                <w:bCs/>
                <w:smallCaps w:val="0"/>
                <w:color w:val="000000" w:themeColor="text1"/>
                <w:sz w:val="22"/>
                <w:szCs w:val="22"/>
                <w:u w:val="single"/>
              </w:rPr>
            </w:pPr>
            <w:r w:rsidRPr="003E266A">
              <w:rPr>
                <w:bCs/>
                <w:smallCaps w:val="0"/>
                <w:color w:val="000000" w:themeColor="text1"/>
                <w:sz w:val="22"/>
                <w:szCs w:val="22"/>
                <w:u w:val="single"/>
              </w:rPr>
              <w:t>(INDIVIDUAL CONSULTING SERVICES)</w:t>
            </w:r>
          </w:p>
          <w:p w14:paraId="1964E153" w14:textId="77777777" w:rsidR="003E266A" w:rsidRPr="003E266A" w:rsidRDefault="003E266A" w:rsidP="003E266A">
            <w:pPr>
              <w:suppressAutoHyphens/>
              <w:jc w:val="center"/>
              <w:rPr>
                <w:rFonts w:ascii="Times New Roman" w:hAnsi="Times New Roman"/>
                <w:b/>
                <w:bCs/>
                <w:color w:val="000000" w:themeColor="text1"/>
                <w:szCs w:val="22"/>
              </w:rPr>
            </w:pPr>
          </w:p>
          <w:p w14:paraId="4E24EA38" w14:textId="1443ED16" w:rsidR="003E266A" w:rsidRPr="003E266A" w:rsidRDefault="00080B16" w:rsidP="003E266A">
            <w:pPr>
              <w:suppressAutoHyphens/>
              <w:jc w:val="center"/>
              <w:rPr>
                <w:rFonts w:ascii="Times New Roman" w:hAnsi="Times New Roman"/>
                <w:b/>
                <w:bCs/>
                <w:color w:val="000000" w:themeColor="text1"/>
                <w:szCs w:val="22"/>
                <w:u w:val="single"/>
              </w:rPr>
            </w:pPr>
            <w:r>
              <w:rPr>
                <w:rFonts w:ascii="Times New Roman" w:hAnsi="Times New Roman"/>
                <w:b/>
                <w:bCs/>
                <w:color w:val="000000" w:themeColor="text1"/>
                <w:szCs w:val="22"/>
                <w:u w:val="single"/>
              </w:rPr>
              <w:t>Mid-term evaluation</w:t>
            </w:r>
          </w:p>
          <w:p w14:paraId="793A419A" w14:textId="77777777" w:rsidR="003E266A" w:rsidRPr="003E266A" w:rsidRDefault="003E266A" w:rsidP="003E266A">
            <w:pPr>
              <w:suppressAutoHyphens/>
              <w:jc w:val="center"/>
              <w:rPr>
                <w:rFonts w:ascii="Times New Roman" w:hAnsi="Times New Roman"/>
                <w:color w:val="000000" w:themeColor="text1"/>
                <w:spacing w:val="-2"/>
                <w:szCs w:val="22"/>
              </w:rPr>
            </w:pPr>
            <w:r w:rsidRPr="003E266A">
              <w:rPr>
                <w:rFonts w:ascii="Times New Roman" w:hAnsi="Times New Roman"/>
                <w:b/>
                <w:bCs/>
                <w:color w:val="000000" w:themeColor="text1"/>
                <w:szCs w:val="22"/>
              </w:rPr>
              <w:t>Loan No: 4676/BL-GY</w:t>
            </w:r>
          </w:p>
          <w:p w14:paraId="4AF3BA4A" w14:textId="77777777" w:rsidR="003E266A" w:rsidRPr="00770C50" w:rsidRDefault="003E266A" w:rsidP="003E266A">
            <w:pPr>
              <w:suppressAutoHyphens/>
              <w:ind w:left="189"/>
              <w:rPr>
                <w:rFonts w:ascii="Times New Roman" w:hAnsi="Times New Roman"/>
                <w:color w:val="000000" w:themeColor="text1"/>
                <w:spacing w:val="-2"/>
                <w:sz w:val="24"/>
                <w:szCs w:val="24"/>
              </w:rPr>
            </w:pPr>
          </w:p>
          <w:p w14:paraId="033E80C7" w14:textId="13CCF587" w:rsidR="003E266A" w:rsidRPr="003E266A" w:rsidRDefault="003E266A" w:rsidP="003E266A">
            <w:pPr>
              <w:ind w:left="189"/>
              <w:jc w:val="both"/>
              <w:rPr>
                <w:rFonts w:ascii="Times New Roman" w:hAnsi="Times New Roman"/>
                <w:b/>
                <w:bCs/>
                <w:color w:val="000000" w:themeColor="text1"/>
                <w:sz w:val="20"/>
              </w:rPr>
            </w:pPr>
            <w:r w:rsidRPr="003E266A">
              <w:rPr>
                <w:rFonts w:ascii="Times New Roman" w:hAnsi="Times New Roman"/>
                <w:color w:val="000000" w:themeColor="text1"/>
                <w:sz w:val="20"/>
              </w:rPr>
              <w:t xml:space="preserve">The </w:t>
            </w:r>
            <w:r w:rsidRPr="003E266A">
              <w:rPr>
                <w:rFonts w:ascii="Times New Roman" w:hAnsi="Times New Roman"/>
                <w:i/>
                <w:iCs/>
                <w:color w:val="000000" w:themeColor="text1"/>
                <w:sz w:val="20"/>
              </w:rPr>
              <w:t>Government of Guyana</w:t>
            </w:r>
            <w:r w:rsidRPr="003E266A">
              <w:rPr>
                <w:rFonts w:ascii="Times New Roman" w:hAnsi="Times New Roman"/>
                <w:color w:val="000000" w:themeColor="text1"/>
                <w:sz w:val="20"/>
              </w:rPr>
              <w:t xml:space="preserve"> has received financing from the Inter-American Development Bank (IDB) towards the cost of the </w:t>
            </w:r>
            <w:r w:rsidRPr="003E266A">
              <w:rPr>
                <w:rFonts w:ascii="Times New Roman" w:hAnsi="Times New Roman"/>
                <w:b/>
                <w:bCs/>
                <w:color w:val="000000" w:themeColor="text1"/>
                <w:sz w:val="20"/>
              </w:rPr>
              <w:t xml:space="preserve">Energy Matrix Diversification and Strengthening of the Department of Energy (EMISDE) and </w:t>
            </w:r>
            <w:r w:rsidRPr="003E266A">
              <w:rPr>
                <w:rFonts w:ascii="Times New Roman" w:hAnsi="Times New Roman"/>
                <w:color w:val="000000" w:themeColor="text1"/>
                <w:sz w:val="20"/>
              </w:rPr>
              <w:t xml:space="preserve">intends to apply a portion of the proceeds for </w:t>
            </w:r>
            <w:r w:rsidR="00080B16">
              <w:rPr>
                <w:rFonts w:ascii="Times New Roman" w:hAnsi="Times New Roman"/>
                <w:b/>
                <w:bCs/>
                <w:color w:val="000000" w:themeColor="text1"/>
                <w:sz w:val="20"/>
              </w:rPr>
              <w:t>Mid-Term</w:t>
            </w:r>
            <w:r w:rsidRPr="003E266A">
              <w:rPr>
                <w:rFonts w:ascii="Times New Roman" w:hAnsi="Times New Roman"/>
                <w:b/>
                <w:bCs/>
                <w:color w:val="000000" w:themeColor="text1"/>
                <w:sz w:val="20"/>
              </w:rPr>
              <w:t xml:space="preserve"> Evaluation Consulting Services.</w:t>
            </w:r>
          </w:p>
          <w:p w14:paraId="0FDF083F" w14:textId="77777777" w:rsidR="003E266A" w:rsidRPr="003E266A" w:rsidRDefault="003E266A" w:rsidP="003E266A">
            <w:pPr>
              <w:suppressAutoHyphens/>
              <w:ind w:left="189"/>
              <w:jc w:val="both"/>
              <w:rPr>
                <w:rFonts w:ascii="Times New Roman" w:hAnsi="Times New Roman"/>
                <w:color w:val="000000" w:themeColor="text1"/>
                <w:spacing w:val="-2"/>
                <w:sz w:val="20"/>
              </w:rPr>
            </w:pPr>
          </w:p>
          <w:p w14:paraId="7A4C03F8" w14:textId="468A532E" w:rsidR="003E266A" w:rsidRPr="003E266A" w:rsidRDefault="003E266A" w:rsidP="003E266A">
            <w:pPr>
              <w:suppressAutoHyphens/>
              <w:ind w:left="189"/>
              <w:jc w:val="both"/>
              <w:rPr>
                <w:rFonts w:ascii="Times New Roman" w:hAnsi="Times New Roman"/>
                <w:sz w:val="20"/>
              </w:rPr>
            </w:pPr>
            <w:r w:rsidRPr="003E266A">
              <w:rPr>
                <w:rFonts w:ascii="Times New Roman" w:hAnsi="Times New Roman"/>
                <w:color w:val="000000" w:themeColor="text1"/>
                <w:spacing w:val="-2"/>
                <w:sz w:val="20"/>
              </w:rPr>
              <w:t xml:space="preserve">The </w:t>
            </w:r>
            <w:r>
              <w:rPr>
                <w:rFonts w:ascii="Times New Roman" w:hAnsi="Times New Roman"/>
                <w:color w:val="000000" w:themeColor="text1"/>
                <w:spacing w:val="-2"/>
                <w:sz w:val="20"/>
              </w:rPr>
              <w:t>C</w:t>
            </w:r>
            <w:r w:rsidRPr="003E266A">
              <w:rPr>
                <w:rFonts w:ascii="Times New Roman" w:hAnsi="Times New Roman"/>
                <w:color w:val="000000" w:themeColor="text1"/>
                <w:spacing w:val="-2"/>
                <w:sz w:val="20"/>
              </w:rPr>
              <w:t>onsult</w:t>
            </w:r>
            <w:r>
              <w:rPr>
                <w:rFonts w:ascii="Times New Roman" w:hAnsi="Times New Roman"/>
                <w:color w:val="000000" w:themeColor="text1"/>
                <w:spacing w:val="-2"/>
                <w:sz w:val="20"/>
              </w:rPr>
              <w:t xml:space="preserve">ant </w:t>
            </w:r>
            <w:r w:rsidR="00D4791F" w:rsidRPr="00080B16">
              <w:rPr>
                <w:rFonts w:ascii="Times New Roman" w:hAnsi="Times New Roman"/>
                <w:color w:val="000000" w:themeColor="text1"/>
                <w:spacing w:val="-2"/>
                <w:sz w:val="20"/>
              </w:rPr>
              <w:t>will assess</w:t>
            </w:r>
            <w:r w:rsidR="00080B16" w:rsidRPr="00080B16">
              <w:rPr>
                <w:rFonts w:ascii="Times New Roman" w:hAnsi="Times New Roman"/>
                <w:color w:val="000000" w:themeColor="text1"/>
                <w:spacing w:val="-2"/>
                <w:sz w:val="20"/>
              </w:rPr>
              <w:t xml:space="preserve"> the extent to which the </w:t>
            </w:r>
            <w:proofErr w:type="spellStart"/>
            <w:r w:rsidR="00080B16" w:rsidRPr="00080B16">
              <w:rPr>
                <w:rFonts w:ascii="Times New Roman" w:hAnsi="Times New Roman"/>
                <w:color w:val="000000" w:themeColor="text1"/>
                <w:spacing w:val="-2"/>
                <w:sz w:val="20"/>
              </w:rPr>
              <w:t>programme</w:t>
            </w:r>
            <w:proofErr w:type="spellEnd"/>
            <w:r w:rsidR="00080B16" w:rsidRPr="00080B16">
              <w:rPr>
                <w:rFonts w:ascii="Times New Roman" w:hAnsi="Times New Roman"/>
                <w:color w:val="000000" w:themeColor="text1"/>
                <w:spacing w:val="-2"/>
                <w:sz w:val="20"/>
              </w:rPr>
              <w:t xml:space="preserve"> has achieved its main objective and expected outcomes at the time of the mid-term review. Additionally, the mid-term evaluation will also propose recommendations to enhance the project’s relevance, effectiveness, efficiency and impact with a view to ongoing and future activities until the end of project implementation</w:t>
            </w:r>
            <w:r w:rsidR="00080B16">
              <w:rPr>
                <w:rFonts w:ascii="Times New Roman" w:hAnsi="Times New Roman"/>
                <w:color w:val="000000" w:themeColor="text1"/>
                <w:spacing w:val="-2"/>
                <w:sz w:val="20"/>
              </w:rPr>
              <w:t xml:space="preserve">. The </w:t>
            </w:r>
            <w:r>
              <w:rPr>
                <w:rFonts w:ascii="Times New Roman" w:hAnsi="Times New Roman"/>
                <w:sz w:val="20"/>
              </w:rPr>
              <w:t xml:space="preserve">duration </w:t>
            </w:r>
            <w:r w:rsidR="006F204F">
              <w:rPr>
                <w:rFonts w:ascii="Times New Roman" w:hAnsi="Times New Roman"/>
                <w:sz w:val="20"/>
              </w:rPr>
              <w:t>of the</w:t>
            </w:r>
            <w:r w:rsidR="00080B16">
              <w:rPr>
                <w:rFonts w:ascii="Times New Roman" w:hAnsi="Times New Roman"/>
                <w:sz w:val="20"/>
              </w:rPr>
              <w:t xml:space="preserve"> consultancy is sixty (60)</w:t>
            </w:r>
            <w:r w:rsidRPr="003E266A">
              <w:rPr>
                <w:rFonts w:ascii="Times New Roman" w:hAnsi="Times New Roman"/>
                <w:sz w:val="20"/>
              </w:rPr>
              <w:t xml:space="preserve"> </w:t>
            </w:r>
            <w:r w:rsidR="00080B16">
              <w:rPr>
                <w:rFonts w:ascii="Times New Roman" w:hAnsi="Times New Roman"/>
                <w:sz w:val="20"/>
              </w:rPr>
              <w:t>days</w:t>
            </w:r>
            <w:r>
              <w:rPr>
                <w:rFonts w:ascii="Times New Roman" w:hAnsi="Times New Roman"/>
                <w:sz w:val="20"/>
              </w:rPr>
              <w:t xml:space="preserve"> commencing </w:t>
            </w:r>
            <w:r w:rsidR="006F204F" w:rsidRPr="00D4791F">
              <w:rPr>
                <w:rFonts w:ascii="Times New Roman" w:hAnsi="Times New Roman"/>
                <w:b/>
                <w:bCs/>
                <w:sz w:val="20"/>
              </w:rPr>
              <w:t xml:space="preserve">March </w:t>
            </w:r>
            <w:r w:rsidR="00A91203" w:rsidRPr="00D4791F">
              <w:rPr>
                <w:rFonts w:ascii="Times New Roman" w:hAnsi="Times New Roman"/>
                <w:b/>
                <w:bCs/>
                <w:sz w:val="20"/>
              </w:rPr>
              <w:t>1</w:t>
            </w:r>
            <w:r w:rsidRPr="00D4791F">
              <w:rPr>
                <w:rFonts w:ascii="Times New Roman" w:hAnsi="Times New Roman"/>
                <w:b/>
                <w:bCs/>
                <w:sz w:val="20"/>
              </w:rPr>
              <w:t>,</w:t>
            </w:r>
            <w:r w:rsidR="00F601BC">
              <w:rPr>
                <w:rFonts w:ascii="Times New Roman" w:hAnsi="Times New Roman"/>
                <w:b/>
                <w:bCs/>
                <w:sz w:val="20"/>
              </w:rPr>
              <w:t xml:space="preserve"> </w:t>
            </w:r>
            <w:r w:rsidRPr="00D4791F">
              <w:rPr>
                <w:rFonts w:ascii="Times New Roman" w:hAnsi="Times New Roman"/>
                <w:b/>
                <w:bCs/>
                <w:sz w:val="20"/>
              </w:rPr>
              <w:t>202</w:t>
            </w:r>
            <w:r w:rsidR="00080B16" w:rsidRPr="00D4791F">
              <w:rPr>
                <w:rFonts w:ascii="Times New Roman" w:hAnsi="Times New Roman"/>
                <w:b/>
                <w:bCs/>
                <w:sz w:val="20"/>
              </w:rPr>
              <w:t>2</w:t>
            </w:r>
          </w:p>
          <w:p w14:paraId="514142F2" w14:textId="77777777" w:rsidR="003E266A" w:rsidRPr="003E266A" w:rsidRDefault="003E266A" w:rsidP="003E266A">
            <w:pPr>
              <w:suppressAutoHyphens/>
              <w:ind w:left="189"/>
              <w:jc w:val="both"/>
              <w:rPr>
                <w:rFonts w:ascii="Times New Roman" w:hAnsi="Times New Roman"/>
                <w:sz w:val="20"/>
              </w:rPr>
            </w:pPr>
          </w:p>
          <w:p w14:paraId="4FB20F83" w14:textId="77777777" w:rsidR="003E266A" w:rsidRPr="003E266A" w:rsidRDefault="003E266A" w:rsidP="003E266A">
            <w:pPr>
              <w:suppressAutoHyphens/>
              <w:ind w:left="189"/>
              <w:jc w:val="both"/>
              <w:rPr>
                <w:rFonts w:ascii="Times New Roman" w:hAnsi="Times New Roman"/>
                <w:color w:val="000000" w:themeColor="text1"/>
                <w:spacing w:val="-2"/>
                <w:sz w:val="20"/>
              </w:rPr>
            </w:pPr>
            <w:r w:rsidRPr="003E266A">
              <w:rPr>
                <w:rFonts w:ascii="Times New Roman" w:hAnsi="Times New Roman"/>
                <w:sz w:val="20"/>
              </w:rPr>
              <w:t xml:space="preserve">The detailed Terms of Reference (TOR) for the assignment can be downloaded from the GEA’s website at </w:t>
            </w:r>
            <w:hyperlink r:id="rId10" w:history="1">
              <w:r w:rsidRPr="003E266A">
                <w:rPr>
                  <w:rStyle w:val="Hyperlink"/>
                  <w:rFonts w:ascii="Times New Roman" w:hAnsi="Times New Roman"/>
                  <w:sz w:val="20"/>
                </w:rPr>
                <w:t>www.gea.gov.gy</w:t>
              </w:r>
            </w:hyperlink>
            <w:r w:rsidRPr="003E266A">
              <w:rPr>
                <w:rFonts w:ascii="Times New Roman" w:hAnsi="Times New Roman"/>
                <w:sz w:val="20"/>
              </w:rPr>
              <w:t xml:space="preserve">. </w:t>
            </w:r>
            <w:r w:rsidRPr="003E266A">
              <w:rPr>
                <w:rFonts w:ascii="Times New Roman" w:hAnsi="Times New Roman"/>
                <w:color w:val="000000" w:themeColor="text1"/>
                <w:spacing w:val="-2"/>
                <w:sz w:val="20"/>
              </w:rPr>
              <w:t xml:space="preserve">Additional information can be obtained by email at </w:t>
            </w:r>
            <w:hyperlink r:id="rId11" w:history="1">
              <w:r w:rsidRPr="003E266A">
                <w:rPr>
                  <w:rStyle w:val="Hyperlink"/>
                  <w:rFonts w:ascii="Times New Roman" w:hAnsi="Times New Roman"/>
                  <w:spacing w:val="-2"/>
                  <w:sz w:val="20"/>
                </w:rPr>
                <w:t>gea@gea.gov.gy</w:t>
              </w:r>
            </w:hyperlink>
            <w:r w:rsidRPr="003E266A">
              <w:rPr>
                <w:rFonts w:ascii="Times New Roman" w:hAnsi="Times New Roman"/>
                <w:color w:val="000000" w:themeColor="text1"/>
                <w:spacing w:val="-2"/>
                <w:sz w:val="20"/>
              </w:rPr>
              <w:t xml:space="preserve"> from 09:00hrs – 15:00hrs, Monday to Friday.</w:t>
            </w:r>
          </w:p>
          <w:p w14:paraId="7D09E702" w14:textId="77777777" w:rsidR="003E266A" w:rsidRPr="003E266A" w:rsidRDefault="003E266A" w:rsidP="003E266A">
            <w:pPr>
              <w:suppressAutoHyphens/>
              <w:ind w:left="189"/>
              <w:jc w:val="both"/>
              <w:rPr>
                <w:rFonts w:ascii="Times New Roman" w:hAnsi="Times New Roman"/>
                <w:color w:val="000000" w:themeColor="text1"/>
                <w:spacing w:val="-2"/>
                <w:sz w:val="20"/>
              </w:rPr>
            </w:pPr>
          </w:p>
          <w:p w14:paraId="7FF0306F" w14:textId="2AF745C2" w:rsidR="003E266A" w:rsidRPr="003E266A" w:rsidRDefault="003E266A" w:rsidP="003E266A">
            <w:pPr>
              <w:suppressAutoHyphens/>
              <w:ind w:left="189"/>
              <w:jc w:val="both"/>
              <w:rPr>
                <w:rFonts w:ascii="Times New Roman" w:hAnsi="Times New Roman"/>
                <w:color w:val="000000" w:themeColor="text1"/>
                <w:spacing w:val="-2"/>
                <w:sz w:val="20"/>
              </w:rPr>
            </w:pPr>
            <w:r w:rsidRPr="003E266A">
              <w:rPr>
                <w:rFonts w:ascii="Times New Roman" w:hAnsi="Times New Roman"/>
                <w:color w:val="000000" w:themeColor="text1"/>
                <w:spacing w:val="-2"/>
                <w:sz w:val="20"/>
              </w:rPr>
              <w:t xml:space="preserve">The </w:t>
            </w:r>
            <w:r>
              <w:rPr>
                <w:rFonts w:ascii="Times New Roman" w:hAnsi="Times New Roman"/>
                <w:color w:val="000000" w:themeColor="text1"/>
                <w:spacing w:val="-2"/>
                <w:sz w:val="20"/>
              </w:rPr>
              <w:t xml:space="preserve">GEA </w:t>
            </w:r>
            <w:r w:rsidRPr="003E266A">
              <w:rPr>
                <w:rFonts w:ascii="Times New Roman" w:hAnsi="Times New Roman"/>
                <w:color w:val="000000" w:themeColor="text1"/>
                <w:spacing w:val="-2"/>
                <w:sz w:val="20"/>
              </w:rPr>
              <w:t xml:space="preserve">now invites eligible Individual Consultants (“Consultants”) to indicate their interest in providing the Services. Interested Consultants should provide information demonstrating that they have the required qualifications and relevant experience to perform the Services. </w:t>
            </w:r>
          </w:p>
          <w:p w14:paraId="3C7F0424" w14:textId="77777777" w:rsidR="003E266A" w:rsidRPr="003E266A" w:rsidRDefault="003E266A" w:rsidP="003E266A">
            <w:pPr>
              <w:suppressAutoHyphens/>
              <w:ind w:left="189"/>
              <w:jc w:val="both"/>
              <w:rPr>
                <w:rFonts w:ascii="Times New Roman" w:hAnsi="Times New Roman"/>
                <w:color w:val="000000" w:themeColor="text1"/>
                <w:spacing w:val="-2"/>
                <w:sz w:val="20"/>
              </w:rPr>
            </w:pPr>
          </w:p>
          <w:p w14:paraId="6FCEAF9E" w14:textId="47BF59D2" w:rsidR="003E266A" w:rsidRPr="003E266A" w:rsidRDefault="003E266A" w:rsidP="003E266A">
            <w:pPr>
              <w:suppressAutoHyphens/>
              <w:ind w:left="189"/>
              <w:jc w:val="both"/>
              <w:rPr>
                <w:rFonts w:ascii="Times New Roman" w:hAnsi="Times New Roman"/>
                <w:color w:val="000000" w:themeColor="text1"/>
                <w:spacing w:val="-2"/>
                <w:sz w:val="20"/>
              </w:rPr>
            </w:pPr>
            <w:r w:rsidRPr="003E266A">
              <w:rPr>
                <w:rFonts w:ascii="Times New Roman" w:hAnsi="Times New Roman"/>
                <w:color w:val="000000" w:themeColor="text1"/>
                <w:spacing w:val="-2"/>
                <w:sz w:val="20"/>
              </w:rPr>
              <w:t xml:space="preserve">A Consultant will be selected in accordance with </w:t>
            </w:r>
            <w:r w:rsidR="00A91203" w:rsidRPr="00A91203">
              <w:rPr>
                <w:rFonts w:ascii="Times New Roman" w:hAnsi="Times New Roman"/>
                <w:i/>
                <w:color w:val="000000" w:themeColor="text1"/>
                <w:spacing w:val="-2"/>
                <w:sz w:val="20"/>
              </w:rPr>
              <w:t>Individual Consultant Selection (Open Invitation)</w:t>
            </w:r>
            <w:r w:rsidR="00A91203">
              <w:rPr>
                <w:rFonts w:ascii="Times New Roman" w:hAnsi="Times New Roman"/>
                <w:i/>
                <w:color w:val="000000" w:themeColor="text1"/>
                <w:spacing w:val="-2"/>
                <w:sz w:val="20"/>
              </w:rPr>
              <w:t xml:space="preserve"> </w:t>
            </w:r>
            <w:r w:rsidRPr="003E266A">
              <w:rPr>
                <w:rFonts w:ascii="Times New Roman" w:hAnsi="Times New Roman"/>
                <w:color w:val="000000" w:themeColor="text1"/>
                <w:spacing w:val="-2"/>
                <w:sz w:val="20"/>
              </w:rPr>
              <w:t xml:space="preserve">method set out in the Consultant Policies. Consultants will be selected in accordance with the procedures set out in the Inter-American Development Bank: </w:t>
            </w:r>
            <w:hyperlink r:id="rId12" w:history="1">
              <w:hyperlink r:id="rId13" w:history="1">
                <w:r w:rsidRPr="003E266A">
                  <w:rPr>
                    <w:rStyle w:val="Hyperlink"/>
                    <w:rFonts w:ascii="Times New Roman" w:hAnsi="Times New Roman"/>
                    <w:color w:val="000000" w:themeColor="text1"/>
                    <w:spacing w:val="-2"/>
                    <w:sz w:val="20"/>
                  </w:rPr>
                  <w:t>Policies for the Selection and Contracting of Consultants financed by the Inter-American Development</w:t>
                </w:r>
              </w:hyperlink>
              <w:r w:rsidRPr="003E266A">
                <w:rPr>
                  <w:rStyle w:val="Hyperlink"/>
                  <w:rFonts w:ascii="Times New Roman" w:hAnsi="Times New Roman"/>
                  <w:color w:val="000000" w:themeColor="text1"/>
                  <w:spacing w:val="-2"/>
                  <w:sz w:val="20"/>
                </w:rPr>
                <w:t xml:space="preserve"> Bank</w:t>
              </w:r>
            </w:hyperlink>
            <w:r w:rsidRPr="003E266A">
              <w:rPr>
                <w:rFonts w:ascii="Times New Roman" w:hAnsi="Times New Roman"/>
                <w:color w:val="000000" w:themeColor="text1"/>
                <w:spacing w:val="-2"/>
                <w:sz w:val="20"/>
              </w:rPr>
              <w:t xml:space="preserve"> GN-2350-9 and is open to all eligible bidders as defined in the policies. </w:t>
            </w:r>
          </w:p>
          <w:p w14:paraId="673438BB" w14:textId="77777777" w:rsidR="003E266A" w:rsidRPr="003E266A" w:rsidRDefault="003E266A" w:rsidP="003E266A">
            <w:pPr>
              <w:suppressAutoHyphens/>
              <w:ind w:left="189"/>
              <w:jc w:val="both"/>
              <w:rPr>
                <w:rFonts w:ascii="Times New Roman" w:hAnsi="Times New Roman"/>
                <w:color w:val="000000" w:themeColor="text1"/>
                <w:spacing w:val="-2"/>
                <w:sz w:val="20"/>
              </w:rPr>
            </w:pPr>
            <w:r w:rsidRPr="003E266A">
              <w:rPr>
                <w:rFonts w:ascii="Times New Roman" w:hAnsi="Times New Roman"/>
                <w:color w:val="000000" w:themeColor="text1"/>
                <w:spacing w:val="-2"/>
                <w:sz w:val="20"/>
              </w:rPr>
              <w:t xml:space="preserve">  </w:t>
            </w:r>
          </w:p>
          <w:p w14:paraId="59715358" w14:textId="28D73FBE" w:rsidR="003E266A" w:rsidRPr="003E266A" w:rsidRDefault="003E266A" w:rsidP="003E266A">
            <w:pPr>
              <w:suppressAutoHyphens/>
              <w:ind w:left="189"/>
              <w:jc w:val="both"/>
              <w:rPr>
                <w:rFonts w:ascii="Times New Roman" w:hAnsi="Times New Roman"/>
                <w:color w:val="000000" w:themeColor="text1"/>
                <w:sz w:val="20"/>
              </w:rPr>
            </w:pPr>
            <w:r w:rsidRPr="003E266A">
              <w:rPr>
                <w:rFonts w:ascii="Times New Roman" w:hAnsi="Times New Roman"/>
                <w:color w:val="000000" w:themeColor="text1"/>
                <w:spacing w:val="-2"/>
                <w:sz w:val="20"/>
              </w:rPr>
              <w:t xml:space="preserve">Expressions of Interest must be delivered in a written form to the address below (in person, or by mail, or by e-mail) </w:t>
            </w:r>
            <w:r w:rsidRPr="003E266A">
              <w:rPr>
                <w:rFonts w:ascii="Times New Roman" w:hAnsi="Times New Roman"/>
                <w:color w:val="000000" w:themeColor="text1"/>
                <w:sz w:val="20"/>
              </w:rPr>
              <w:t xml:space="preserve">on or before </w:t>
            </w:r>
            <w:r w:rsidR="00F601BC">
              <w:rPr>
                <w:rFonts w:ascii="Times New Roman" w:hAnsi="Times New Roman"/>
                <w:b/>
                <w:bCs/>
                <w:color w:val="000000" w:themeColor="text1"/>
                <w:sz w:val="20"/>
                <w:u w:val="single"/>
              </w:rPr>
              <w:t xml:space="preserve">Tuesday </w:t>
            </w:r>
            <w:r w:rsidR="009E392E">
              <w:rPr>
                <w:rFonts w:ascii="Times New Roman" w:hAnsi="Times New Roman"/>
                <w:b/>
                <w:bCs/>
                <w:color w:val="000000" w:themeColor="text1"/>
                <w:sz w:val="20"/>
                <w:u w:val="single"/>
              </w:rPr>
              <w:t>15</w:t>
            </w:r>
            <w:r w:rsidR="00F601BC" w:rsidRPr="009E392E">
              <w:rPr>
                <w:rFonts w:ascii="Times New Roman" w:hAnsi="Times New Roman"/>
                <w:b/>
                <w:bCs/>
                <w:color w:val="000000" w:themeColor="text1"/>
                <w:sz w:val="20"/>
                <w:u w:val="single"/>
                <w:vertAlign w:val="superscript"/>
              </w:rPr>
              <w:t>th</w:t>
            </w:r>
            <w:r w:rsidR="00F601BC">
              <w:rPr>
                <w:rFonts w:ascii="Times New Roman" w:hAnsi="Times New Roman"/>
                <w:b/>
                <w:bCs/>
                <w:color w:val="000000" w:themeColor="text1"/>
                <w:sz w:val="20"/>
                <w:u w:val="single"/>
              </w:rPr>
              <w:t xml:space="preserve"> </w:t>
            </w:r>
            <w:r w:rsidR="004C1604">
              <w:rPr>
                <w:rFonts w:ascii="Times New Roman" w:hAnsi="Times New Roman"/>
                <w:b/>
                <w:bCs/>
                <w:color w:val="000000" w:themeColor="text1"/>
                <w:sz w:val="20"/>
                <w:u w:val="single"/>
              </w:rPr>
              <w:t xml:space="preserve">February </w:t>
            </w:r>
            <w:r w:rsidR="004C1604" w:rsidRPr="003E266A">
              <w:rPr>
                <w:rFonts w:ascii="Times New Roman" w:hAnsi="Times New Roman"/>
                <w:b/>
                <w:bCs/>
                <w:color w:val="000000" w:themeColor="text1"/>
                <w:sz w:val="20"/>
                <w:u w:val="single"/>
              </w:rPr>
              <w:t>2022</w:t>
            </w:r>
            <w:r w:rsidRPr="003E266A">
              <w:rPr>
                <w:rFonts w:ascii="Times New Roman" w:hAnsi="Times New Roman"/>
                <w:color w:val="000000" w:themeColor="text1"/>
                <w:sz w:val="20"/>
              </w:rPr>
              <w:t xml:space="preserve"> during working hours clearly marked: </w:t>
            </w:r>
          </w:p>
          <w:p w14:paraId="6B974902" w14:textId="77777777" w:rsidR="003E266A" w:rsidRPr="003E266A" w:rsidRDefault="003E266A" w:rsidP="003E266A">
            <w:pPr>
              <w:suppressAutoHyphens/>
              <w:ind w:left="189"/>
              <w:jc w:val="both"/>
              <w:rPr>
                <w:rFonts w:ascii="Times New Roman" w:hAnsi="Times New Roman"/>
                <w:color w:val="000000" w:themeColor="text1"/>
                <w:sz w:val="20"/>
              </w:rPr>
            </w:pPr>
          </w:p>
          <w:p w14:paraId="25D8BD1A" w14:textId="77777777" w:rsidR="003E266A" w:rsidRPr="003E266A" w:rsidRDefault="003E266A" w:rsidP="003E266A">
            <w:pPr>
              <w:suppressAutoHyphens/>
              <w:ind w:left="189"/>
              <w:rPr>
                <w:rFonts w:ascii="Times New Roman" w:hAnsi="Times New Roman"/>
                <w:color w:val="000000" w:themeColor="text1"/>
                <w:sz w:val="20"/>
              </w:rPr>
            </w:pPr>
            <w:r w:rsidRPr="003E266A">
              <w:rPr>
                <w:rFonts w:ascii="Times New Roman" w:hAnsi="Times New Roman"/>
                <w:color w:val="000000" w:themeColor="text1"/>
                <w:sz w:val="20"/>
              </w:rPr>
              <w:t xml:space="preserve">Expression of Interest </w:t>
            </w:r>
          </w:p>
          <w:p w14:paraId="06DB4D2A" w14:textId="5AF2C30E" w:rsidR="003E266A" w:rsidRPr="003E266A" w:rsidRDefault="00D4791F" w:rsidP="003E266A">
            <w:pPr>
              <w:suppressAutoHyphens/>
              <w:ind w:left="189"/>
              <w:rPr>
                <w:rFonts w:ascii="Times New Roman" w:hAnsi="Times New Roman"/>
                <w:color w:val="000000" w:themeColor="text1"/>
                <w:spacing w:val="-2"/>
                <w:sz w:val="20"/>
              </w:rPr>
            </w:pPr>
            <w:r>
              <w:rPr>
                <w:rFonts w:ascii="Times New Roman" w:hAnsi="Times New Roman"/>
                <w:b/>
                <w:bCs/>
                <w:color w:val="000000" w:themeColor="text1"/>
                <w:sz w:val="20"/>
              </w:rPr>
              <w:t xml:space="preserve">Mid -term </w:t>
            </w:r>
            <w:r w:rsidR="009E392E">
              <w:rPr>
                <w:rFonts w:ascii="Times New Roman" w:hAnsi="Times New Roman"/>
                <w:b/>
                <w:bCs/>
                <w:color w:val="000000" w:themeColor="text1"/>
                <w:sz w:val="20"/>
              </w:rPr>
              <w:t>Ev</w:t>
            </w:r>
            <w:r>
              <w:rPr>
                <w:rFonts w:ascii="Times New Roman" w:hAnsi="Times New Roman"/>
                <w:b/>
                <w:bCs/>
                <w:color w:val="000000" w:themeColor="text1"/>
                <w:sz w:val="20"/>
              </w:rPr>
              <w:t>aluation</w:t>
            </w:r>
          </w:p>
          <w:p w14:paraId="262BF902" w14:textId="77777777" w:rsidR="003E266A" w:rsidRPr="003E266A" w:rsidRDefault="003E266A" w:rsidP="003E266A">
            <w:pPr>
              <w:suppressAutoHyphens/>
              <w:ind w:left="189"/>
              <w:rPr>
                <w:rFonts w:ascii="Times New Roman" w:hAnsi="Times New Roman"/>
                <w:color w:val="000000" w:themeColor="text1"/>
                <w:spacing w:val="-2"/>
                <w:sz w:val="20"/>
              </w:rPr>
            </w:pPr>
            <w:r w:rsidRPr="003E266A">
              <w:rPr>
                <w:rFonts w:ascii="Times New Roman" w:hAnsi="Times New Roman"/>
                <w:color w:val="000000" w:themeColor="text1"/>
                <w:spacing w:val="-2"/>
                <w:sz w:val="20"/>
              </w:rPr>
              <w:t xml:space="preserve">Guyana Energy Agency </w:t>
            </w:r>
          </w:p>
          <w:p w14:paraId="7FFC96C4" w14:textId="77777777" w:rsidR="003E266A" w:rsidRPr="003E266A" w:rsidRDefault="003E266A" w:rsidP="003E266A">
            <w:pPr>
              <w:autoSpaceDE w:val="0"/>
              <w:autoSpaceDN w:val="0"/>
              <w:adjustRightInd w:val="0"/>
              <w:spacing w:line="276" w:lineRule="auto"/>
              <w:ind w:left="189"/>
              <w:rPr>
                <w:rFonts w:ascii="Times New Roman" w:hAnsi="Times New Roman"/>
                <w:color w:val="000000"/>
                <w:sz w:val="20"/>
              </w:rPr>
            </w:pPr>
            <w:r w:rsidRPr="003E266A">
              <w:rPr>
                <w:rFonts w:ascii="Times New Roman" w:hAnsi="Times New Roman"/>
                <w:color w:val="000000"/>
                <w:sz w:val="20"/>
              </w:rPr>
              <w:t xml:space="preserve">295 Quamina Street, South Cummingsburg </w:t>
            </w:r>
          </w:p>
          <w:p w14:paraId="1830E3A1" w14:textId="77777777" w:rsidR="003E266A" w:rsidRPr="003E266A" w:rsidRDefault="003E266A" w:rsidP="003E266A">
            <w:pPr>
              <w:autoSpaceDE w:val="0"/>
              <w:autoSpaceDN w:val="0"/>
              <w:adjustRightInd w:val="0"/>
              <w:spacing w:line="276" w:lineRule="auto"/>
              <w:ind w:left="189"/>
              <w:rPr>
                <w:rFonts w:ascii="Times New Roman" w:hAnsi="Times New Roman"/>
                <w:color w:val="000000"/>
                <w:sz w:val="20"/>
              </w:rPr>
            </w:pPr>
            <w:r w:rsidRPr="003E266A">
              <w:rPr>
                <w:rFonts w:ascii="Times New Roman" w:hAnsi="Times New Roman"/>
                <w:color w:val="000000"/>
                <w:sz w:val="20"/>
              </w:rPr>
              <w:t>Georgetown, Guyana</w:t>
            </w:r>
          </w:p>
          <w:p w14:paraId="269945DF" w14:textId="77777777" w:rsidR="003E266A" w:rsidRPr="003E266A" w:rsidRDefault="003E266A" w:rsidP="003E266A">
            <w:pPr>
              <w:autoSpaceDE w:val="0"/>
              <w:autoSpaceDN w:val="0"/>
              <w:adjustRightInd w:val="0"/>
              <w:spacing w:line="276" w:lineRule="auto"/>
              <w:ind w:left="189"/>
              <w:rPr>
                <w:rFonts w:ascii="Times New Roman" w:hAnsi="Times New Roman"/>
                <w:color w:val="000000"/>
                <w:sz w:val="20"/>
              </w:rPr>
            </w:pPr>
            <w:r w:rsidRPr="003E266A">
              <w:rPr>
                <w:rFonts w:ascii="Times New Roman" w:hAnsi="Times New Roman"/>
                <w:color w:val="000000"/>
                <w:sz w:val="20"/>
              </w:rPr>
              <w:t xml:space="preserve">Tel: 592-226-0394 </w:t>
            </w:r>
            <w:proofErr w:type="spellStart"/>
            <w:r w:rsidRPr="003E266A">
              <w:rPr>
                <w:rFonts w:ascii="Times New Roman" w:hAnsi="Times New Roman"/>
                <w:color w:val="000000"/>
                <w:sz w:val="20"/>
              </w:rPr>
              <w:t>ext</w:t>
            </w:r>
            <w:proofErr w:type="spellEnd"/>
            <w:r w:rsidRPr="003E266A">
              <w:rPr>
                <w:rFonts w:ascii="Times New Roman" w:hAnsi="Times New Roman"/>
                <w:color w:val="000000"/>
                <w:sz w:val="20"/>
              </w:rPr>
              <w:t xml:space="preserve"> 241</w:t>
            </w:r>
          </w:p>
          <w:p w14:paraId="04A727C5" w14:textId="392662E6" w:rsidR="003E266A" w:rsidRPr="0041074C" w:rsidRDefault="003E266A" w:rsidP="003E266A">
            <w:pPr>
              <w:pStyle w:val="Heading1a"/>
              <w:jc w:val="left"/>
              <w:rPr>
                <w:smallCaps w:val="0"/>
                <w:color w:val="000000" w:themeColor="text1"/>
                <w:sz w:val="24"/>
                <w:szCs w:val="24"/>
                <w:u w:val="single"/>
              </w:rPr>
            </w:pPr>
            <w:r>
              <w:rPr>
                <w:color w:val="000000"/>
                <w:sz w:val="20"/>
              </w:rPr>
              <w:t xml:space="preserve">     </w:t>
            </w:r>
            <w:r w:rsidRPr="0041074C">
              <w:rPr>
                <w:color w:val="000000"/>
                <w:sz w:val="20"/>
              </w:rPr>
              <w:t xml:space="preserve">Email: </w:t>
            </w:r>
            <w:hyperlink r:id="rId14" w:history="1">
              <w:r w:rsidR="0041074C" w:rsidRPr="009E392E">
                <w:rPr>
                  <w:smallCaps w:val="0"/>
                  <w:color w:val="000000" w:themeColor="text1"/>
                  <w:spacing w:val="-2"/>
                  <w:sz w:val="20"/>
                </w:rPr>
                <w:t>gea@gea.gov.gy</w:t>
              </w:r>
            </w:hyperlink>
          </w:p>
        </w:tc>
      </w:tr>
    </w:tbl>
    <w:p w14:paraId="7CF69950" w14:textId="51F6C6F5" w:rsidR="00C0033B" w:rsidRPr="00770C50" w:rsidRDefault="00C0033B" w:rsidP="003E266A">
      <w:pPr>
        <w:rPr>
          <w:rFonts w:ascii="Times New Roman" w:hAnsi="Times New Roman"/>
          <w:color w:val="000000" w:themeColor="text1"/>
          <w:spacing w:val="-2"/>
          <w:sz w:val="24"/>
          <w:szCs w:val="24"/>
        </w:rPr>
      </w:pPr>
    </w:p>
    <w:sectPr w:rsidR="00C0033B" w:rsidRPr="00770C50" w:rsidSect="00627CC4">
      <w:headerReference w:type="default" r:id="rId15"/>
      <w:endnotePr>
        <w:numFmt w:val="decimal"/>
      </w:endnotePr>
      <w:pgSz w:w="12240" w:h="15840"/>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3680" w14:textId="77777777" w:rsidR="00F979AF" w:rsidRDefault="00F979AF">
      <w:r>
        <w:separator/>
      </w:r>
    </w:p>
  </w:endnote>
  <w:endnote w:type="continuationSeparator" w:id="0">
    <w:p w14:paraId="7CED9F63" w14:textId="77777777" w:rsidR="00F979AF" w:rsidRDefault="00F979AF">
      <w:r>
        <w:rPr>
          <w:sz w:val="24"/>
        </w:rPr>
        <w:t xml:space="preserve"> </w:t>
      </w:r>
    </w:p>
  </w:endnote>
  <w:endnote w:type="continuationNotice" w:id="1">
    <w:p w14:paraId="3DF6E0C7" w14:textId="77777777" w:rsidR="00F979AF" w:rsidRDefault="00F979A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6185" w14:textId="77777777" w:rsidR="00F979AF" w:rsidRDefault="00F979AF">
      <w:r>
        <w:rPr>
          <w:sz w:val="24"/>
        </w:rPr>
        <w:separator/>
      </w:r>
    </w:p>
  </w:footnote>
  <w:footnote w:type="continuationSeparator" w:id="0">
    <w:p w14:paraId="57ADD53C" w14:textId="77777777" w:rsidR="00F979AF" w:rsidRDefault="00F9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3F61" w14:textId="77777777" w:rsidR="000750FD" w:rsidRDefault="000750FD">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0D2E"/>
    <w:rsid w:val="00023AC3"/>
    <w:rsid w:val="00026376"/>
    <w:rsid w:val="00070D5F"/>
    <w:rsid w:val="00074736"/>
    <w:rsid w:val="000750FD"/>
    <w:rsid w:val="00080B16"/>
    <w:rsid w:val="000A2FD3"/>
    <w:rsid w:val="000A4184"/>
    <w:rsid w:val="000B381A"/>
    <w:rsid w:val="000C4041"/>
    <w:rsid w:val="000C65D8"/>
    <w:rsid w:val="001610D5"/>
    <w:rsid w:val="00187EB9"/>
    <w:rsid w:val="001A7842"/>
    <w:rsid w:val="001B0D84"/>
    <w:rsid w:val="001D70EB"/>
    <w:rsid w:val="001E0202"/>
    <w:rsid w:val="001F4F81"/>
    <w:rsid w:val="002241CF"/>
    <w:rsid w:val="00240E4D"/>
    <w:rsid w:val="00245D19"/>
    <w:rsid w:val="0026364C"/>
    <w:rsid w:val="002727A9"/>
    <w:rsid w:val="0033779E"/>
    <w:rsid w:val="00351FCF"/>
    <w:rsid w:val="00357959"/>
    <w:rsid w:val="00363C4C"/>
    <w:rsid w:val="003E266A"/>
    <w:rsid w:val="0041074C"/>
    <w:rsid w:val="00451254"/>
    <w:rsid w:val="00471ED0"/>
    <w:rsid w:val="00480801"/>
    <w:rsid w:val="004C1604"/>
    <w:rsid w:val="004E721D"/>
    <w:rsid w:val="005C2F0C"/>
    <w:rsid w:val="00627CC4"/>
    <w:rsid w:val="00656298"/>
    <w:rsid w:val="006C7CA5"/>
    <w:rsid w:val="006D6898"/>
    <w:rsid w:val="006F204F"/>
    <w:rsid w:val="006F3706"/>
    <w:rsid w:val="00710E04"/>
    <w:rsid w:val="00767342"/>
    <w:rsid w:val="0077054F"/>
    <w:rsid w:val="00770C50"/>
    <w:rsid w:val="007B099C"/>
    <w:rsid w:val="007D2B03"/>
    <w:rsid w:val="007D446B"/>
    <w:rsid w:val="007D59F6"/>
    <w:rsid w:val="00810650"/>
    <w:rsid w:val="008150CD"/>
    <w:rsid w:val="00822BD6"/>
    <w:rsid w:val="008929AC"/>
    <w:rsid w:val="008A4AA7"/>
    <w:rsid w:val="008A57ED"/>
    <w:rsid w:val="008A66AA"/>
    <w:rsid w:val="009068F4"/>
    <w:rsid w:val="00916E24"/>
    <w:rsid w:val="00930D65"/>
    <w:rsid w:val="009357A9"/>
    <w:rsid w:val="00976A9B"/>
    <w:rsid w:val="009830E4"/>
    <w:rsid w:val="009D2E1E"/>
    <w:rsid w:val="009D476E"/>
    <w:rsid w:val="009E2E6C"/>
    <w:rsid w:val="009E392E"/>
    <w:rsid w:val="00A05A45"/>
    <w:rsid w:val="00A377F0"/>
    <w:rsid w:val="00A90CB0"/>
    <w:rsid w:val="00A91203"/>
    <w:rsid w:val="00B10888"/>
    <w:rsid w:val="00B16660"/>
    <w:rsid w:val="00B3630A"/>
    <w:rsid w:val="00B56302"/>
    <w:rsid w:val="00B563CD"/>
    <w:rsid w:val="00B75C4E"/>
    <w:rsid w:val="00BA4299"/>
    <w:rsid w:val="00BC1BB9"/>
    <w:rsid w:val="00BD6CBC"/>
    <w:rsid w:val="00BE36FE"/>
    <w:rsid w:val="00BE61CF"/>
    <w:rsid w:val="00C0033B"/>
    <w:rsid w:val="00C40D90"/>
    <w:rsid w:val="00C67896"/>
    <w:rsid w:val="00C97B64"/>
    <w:rsid w:val="00CF4333"/>
    <w:rsid w:val="00D06F31"/>
    <w:rsid w:val="00D133B5"/>
    <w:rsid w:val="00D4791F"/>
    <w:rsid w:val="00E07E32"/>
    <w:rsid w:val="00EA4BF6"/>
    <w:rsid w:val="00EB5460"/>
    <w:rsid w:val="00EC1945"/>
    <w:rsid w:val="00EC50B8"/>
    <w:rsid w:val="00F16230"/>
    <w:rsid w:val="00F17486"/>
    <w:rsid w:val="00F45A87"/>
    <w:rsid w:val="00F5663A"/>
    <w:rsid w:val="00F601BC"/>
    <w:rsid w:val="00F60754"/>
    <w:rsid w:val="00F71D48"/>
    <w:rsid w:val="00F979AF"/>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82EE9"/>
  <w15:docId w15:val="{3C8BB6BE-19DB-4667-9556-78BFAE09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F45A87"/>
    <w:rPr>
      <w:color w:val="800080" w:themeColor="followedHyperlink"/>
      <w:u w:val="single"/>
    </w:rPr>
  </w:style>
  <w:style w:type="paragraph" w:customStyle="1" w:styleId="Default">
    <w:name w:val="Default"/>
    <w:rsid w:val="00C0033B"/>
    <w:pPr>
      <w:autoSpaceDE w:val="0"/>
      <w:autoSpaceDN w:val="0"/>
      <w:adjustRightInd w:val="0"/>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1610D5"/>
    <w:rPr>
      <w:color w:val="605E5C"/>
      <w:shd w:val="clear" w:color="auto" w:fill="E1DFDD"/>
    </w:rPr>
  </w:style>
  <w:style w:type="paragraph" w:styleId="Revision">
    <w:name w:val="Revision"/>
    <w:hidden/>
    <w:uiPriority w:val="99"/>
    <w:semiHidden/>
    <w:rsid w:val="0041074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ondc05.iadb.org/idbppi/aspx/ppProcurement.aspx?pLanguage=ENGLIS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ndc05.iadb.org/idbppis?pLanguage=ENGLISH&amp;pMenuOption=oMenu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ea@gea.gov.g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ea.gov.g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ea@gea.gov.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53FC-56E9-432F-BE44-ABC79702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2489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Mfon Akpan</dc:creator>
  <cp:lastModifiedBy>Shareefa Baksh</cp:lastModifiedBy>
  <cp:revision>6</cp:revision>
  <cp:lastPrinted>2021-08-13T14:20:00Z</cp:lastPrinted>
  <dcterms:created xsi:type="dcterms:W3CDTF">2022-01-10T14:13:00Z</dcterms:created>
  <dcterms:modified xsi:type="dcterms:W3CDTF">2022-01-11T21:27:00Z</dcterms:modified>
</cp:coreProperties>
</file>